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5B" w:rsidRDefault="00BE0B5B" w:rsidP="00BE0B5B">
      <w:pPr>
        <w:pStyle w:val="gwpa454c63dmsonormal"/>
        <w:spacing w:before="120" w:beforeAutospacing="0" w:after="0" w:afterAutospacing="0" w:line="300" w:lineRule="auto"/>
        <w:ind w:left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Szczegółowe cele kształcenia</w:t>
      </w:r>
      <w:r w:rsidR="00657B8B">
        <w:rPr>
          <w:rFonts w:ascii="Calibri" w:hAnsi="Calibri" w:cs="Calibri"/>
          <w:b/>
          <w:bCs/>
          <w:sz w:val="22"/>
          <w:szCs w:val="22"/>
        </w:rPr>
        <w:t xml:space="preserve"> w zawodzie technik </w:t>
      </w:r>
      <w:r>
        <w:rPr>
          <w:rFonts w:ascii="Calibri" w:hAnsi="Calibri" w:cs="Calibri"/>
          <w:b/>
          <w:bCs/>
          <w:sz w:val="22"/>
          <w:szCs w:val="22"/>
        </w:rPr>
        <w:t>reklamy</w:t>
      </w:r>
      <w:r w:rsidR="00657B8B">
        <w:rPr>
          <w:rFonts w:ascii="Calibri" w:hAnsi="Calibri" w:cs="Calibri"/>
          <w:b/>
          <w:bCs/>
          <w:sz w:val="22"/>
          <w:szCs w:val="22"/>
        </w:rPr>
        <w:t>.</w:t>
      </w:r>
    </w:p>
    <w:p w:rsidR="00BE0B5B" w:rsidRDefault="00657B8B" w:rsidP="00BE0B5B">
      <w:pPr>
        <w:pStyle w:val="gwpa454c63dmsonormal"/>
        <w:spacing w:before="0" w:beforeAutospacing="0" w:after="0" w:afterAutospacing="0" w:line="30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Uczeń</w:t>
      </w:r>
      <w:r w:rsidR="00BE0B5B">
        <w:rPr>
          <w:rFonts w:ascii="Calibri" w:hAnsi="Calibri" w:cs="Calibri"/>
          <w:sz w:val="22"/>
          <w:szCs w:val="22"/>
        </w:rPr>
        <w:t xml:space="preserve"> szkoły kształcące</w:t>
      </w:r>
      <w:r>
        <w:rPr>
          <w:rFonts w:ascii="Calibri" w:hAnsi="Calibri" w:cs="Calibri"/>
          <w:sz w:val="22"/>
          <w:szCs w:val="22"/>
        </w:rPr>
        <w:t>j w zawodzie technik</w:t>
      </w:r>
      <w:r w:rsidR="00BE0B5B">
        <w:rPr>
          <w:rFonts w:ascii="Calibri" w:hAnsi="Calibri" w:cs="Calibri"/>
          <w:sz w:val="22"/>
          <w:szCs w:val="22"/>
        </w:rPr>
        <w:t xml:space="preserve"> reklamy powinien być przygotowany do wykonywania następujących zadań zawodowych: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prezentacji informacji reklamowych w formie graficznej, tekstowej i tabelarycznej oraz określenia ich przydatności do wykonania reklamy;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doboru środków służących do opracowania przekazu reklamowego;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doboru środków prezentacji przekazu reklamowego;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stosowania programów komputerowych do gromadzenia i przetwarzania informacji oraz opracowania przekazu reklamowego;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stosowania przepisów prawa oraz przestrzegania zasad etyki zawodowej, dotyczących tworzenia przekazu reklamowego;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projektowania różnych form środków reklamowych i innych narzędzi promocji;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stosowania różnych form i środków projektowania reklamy;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stosowania przepisów prawa autorskiego i własności intelektualnej;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Prezentowania projektów reklamy produktów i usług;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doboru materiału i narzędzi do wykonywania środków reklamowych;</w:t>
      </w:r>
    </w:p>
    <w:p w:rsidR="00BE0B5B" w:rsidRDefault="00BE0B5B" w:rsidP="00BE0B5B">
      <w:pPr>
        <w:pStyle w:val="gwpa454c63dmsonormal"/>
        <w:spacing w:before="0" w:beforeAutospacing="0" w:after="0" w:afterAutospacing="0" w:line="300" w:lineRule="auto"/>
        <w:ind w:left="707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  </w:t>
      </w:r>
      <w:r>
        <w:rPr>
          <w:rFonts w:ascii="Calibri" w:hAnsi="Calibri" w:cs="Calibri"/>
          <w:sz w:val="22"/>
          <w:szCs w:val="22"/>
        </w:rPr>
        <w:t>przygotowywania reklamy w wersji drukowanej i elektronicznej.</w:t>
      </w:r>
    </w:p>
    <w:p w:rsidR="00BE70B7" w:rsidRDefault="00BE70B7"/>
    <w:sectPr w:rsidR="00BE70B7" w:rsidSect="0022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E0B5B"/>
    <w:rsid w:val="002279BA"/>
    <w:rsid w:val="00657B8B"/>
    <w:rsid w:val="00BE0B5B"/>
    <w:rsid w:val="00B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454c63dmsonormal">
    <w:name w:val="gwpa454c63d_msonormal"/>
    <w:basedOn w:val="Normalny"/>
    <w:rsid w:val="00BE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Skoneczna</dc:creator>
  <cp:keywords/>
  <dc:description/>
  <cp:lastModifiedBy>Renata Skoneczna</cp:lastModifiedBy>
  <cp:revision>5</cp:revision>
  <dcterms:created xsi:type="dcterms:W3CDTF">2022-06-20T07:04:00Z</dcterms:created>
  <dcterms:modified xsi:type="dcterms:W3CDTF">2022-06-20T08:21:00Z</dcterms:modified>
</cp:coreProperties>
</file>